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38" w:rsidRPr="006F6238" w:rsidRDefault="006F6238" w:rsidP="006F6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-дәріс.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Тақырып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history="1">
        <w:r w:rsidRPr="006F623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хат </w:t>
        </w:r>
        <w:proofErr w:type="spellStart"/>
        <w:r w:rsidRPr="006F623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және</w:t>
        </w:r>
        <w:proofErr w:type="spellEnd"/>
        <w:r w:rsidRPr="006F623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6F623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оның</w:t>
        </w:r>
        <w:proofErr w:type="spellEnd"/>
        <w:r w:rsidRPr="006F623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proofErr w:type="spellStart"/>
        <w:r w:rsidRPr="006F623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ерекшелігі</w:t>
        </w:r>
        <w:proofErr w:type="spellEnd"/>
      </w:hyperlink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Қарастырылатын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сұрақтар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6F6238" w:rsidRPr="006F6238" w:rsidRDefault="006F6238" w:rsidP="006F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хат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оның</w:t>
      </w:r>
      <w:proofErr w:type="spellEnd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ерекшелігі</w:t>
      </w:r>
      <w:proofErr w:type="spellEnd"/>
    </w:p>
    <w:p w:rsidR="006F6238" w:rsidRPr="006F6238" w:rsidRDefault="006F6238" w:rsidP="006F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хат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стиль</w:t>
      </w:r>
      <w:r w:rsidRPr="006F62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Мәтіндердің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мәтіннің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жіктеу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ерекшелігін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хат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оның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ерекшелігі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Кез-келген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қалауына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орай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жанрдағы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мәтіндерді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Мәтіндердің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бөлуге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рефераттар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баяндамалар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мақалалар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оқулықтар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пікірлер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авторефераттар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диссертациялар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жұмыстардың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әдісіне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құрылымдары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жүйесі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238" w:rsidRPr="006F6238" w:rsidRDefault="006F6238" w:rsidP="006F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оқытылатын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пәннің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бағытына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өзіндік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тілдік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жазылатын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үдерісіндегі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терминдер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жайттарды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мысалдар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оқырмандарға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238" w:rsidRPr="006F6238" w:rsidRDefault="006F6238" w:rsidP="006F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тақырыпты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түсіндіруге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жазылатын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бағытта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жазылған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мәтіннің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мынандай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ерекшеліктері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болады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Күрделі</w:t>
      </w:r>
      <w:proofErr w:type="spellEnd"/>
      <w:r w:rsidRPr="006F6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ауызекі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тілге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біршама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сөйлемдер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тіркестері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лексикалық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мағынасы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кеңінен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Формалды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жазылым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қысқарған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диалект, жаргон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ауызекі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кездесетін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сөздерді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қолдануға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Нақты</w:t>
      </w:r>
      <w:proofErr w:type="spellEnd"/>
      <w:r w:rsidRPr="006F62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тырысыңыз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қолданбай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«50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Обьективті</w:t>
      </w:r>
      <w:proofErr w:type="spellEnd"/>
      <w:r w:rsidRPr="006F6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жазылатын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субьективті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ұстанбауы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біржақты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ұстанымды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насихаттауға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бағытталмауы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ғылыми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негіздерге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сүйену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автордың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жасағаны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жасалғаны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қызықтырады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ойымша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«мен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сенемін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«мен»,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менікі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тіркестері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қолданылмағаны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абзал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238" w:rsidRPr="006F6238" w:rsidRDefault="006F6238" w:rsidP="006F62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әдетте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сілтеме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жасалмаған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автордың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F6238">
        <w:rPr>
          <w:rFonts w:ascii="Times New Roman" w:hAnsi="Times New Roman" w:cs="Times New Roman"/>
          <w:sz w:val="28"/>
          <w:szCs w:val="28"/>
        </w:rPr>
        <w:fldChar w:fldCharType="begin"/>
      </w:r>
      <w:r w:rsidRPr="006F6238">
        <w:rPr>
          <w:rFonts w:ascii="Times New Roman" w:hAnsi="Times New Roman" w:cs="Times New Roman"/>
          <w:sz w:val="28"/>
          <w:szCs w:val="28"/>
        </w:rPr>
        <w:instrText xml:space="preserve"> HYPERLINK "https://melimde.com/informatika-teoriyasi-a-a-pikiri-aiat-jene-v-pikiri-jalfan-bol.html" </w:instrText>
      </w:r>
      <w:r w:rsidRPr="006F6238">
        <w:rPr>
          <w:rFonts w:ascii="Times New Roman" w:hAnsi="Times New Roman" w:cs="Times New Roman"/>
          <w:sz w:val="28"/>
          <w:szCs w:val="28"/>
        </w:rPr>
        <w:fldChar w:fldCharType="separate"/>
      </w:r>
      <w:r w:rsidRPr="006F62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пікірі</w:t>
      </w:r>
      <w:proofErr w:type="spellEnd"/>
      <w:r w:rsidRPr="006F62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ретінде</w:t>
      </w:r>
      <w:proofErr w:type="spellEnd"/>
      <w:r w:rsidRPr="006F62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қабылдап</w:t>
      </w:r>
      <w:proofErr w:type="spellEnd"/>
      <w:r w:rsidRPr="006F62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бағалайды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ойымша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Оқырманға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«сен»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сілтеу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есімдіктерін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қолданбаған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6F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1CE" w:rsidRDefault="00D611CE"/>
    <w:sectPr w:rsidR="00D6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8"/>
    <w:rsid w:val="002E0198"/>
    <w:rsid w:val="006F6238"/>
    <w:rsid w:val="00D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4128A-0614-4695-B8E3-1742F87C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imde.com/sabati-tairibi-hat-jene-oni-trleri-sabati-masati-1bilimdilik-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2021-01-21T18:04:00Z</dcterms:created>
  <dcterms:modified xsi:type="dcterms:W3CDTF">2021-01-21T18:05:00Z</dcterms:modified>
</cp:coreProperties>
</file>